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姜唐湖行洪区堤防除险加固工程环境影响报告书外委业务采购需求</w:t>
      </w:r>
    </w:p>
    <w:p/>
    <w:p>
      <w:pPr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sz w:val="24"/>
          <w:szCs w:val="24"/>
        </w:rPr>
        <w:t xml:space="preserve"> 环境质量现状监测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根据有关环评技术导则要求，需开展（水、气、声、土等）环境要素环境质量现状监测工作，该工作需委托具有相应资质的监测单位完成。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（一）</w:t>
      </w:r>
      <w:r>
        <w:rPr>
          <w:rFonts w:ascii="Times New Roman" w:hAnsi="Times New Roman" w:cs="Times New Roman"/>
          <w:sz w:val="24"/>
          <w:szCs w:val="24"/>
        </w:rPr>
        <w:t>环境空气质量现状监测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1.监测因子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SO</w:t>
      </w:r>
      <w:r>
        <w:rPr>
          <w:sz w:val="24"/>
          <w:vertAlign w:val="subscript"/>
        </w:rPr>
        <w:t>2</w:t>
      </w:r>
      <w:r>
        <w:rPr>
          <w:sz w:val="24"/>
        </w:rPr>
        <w:t>、NO</w:t>
      </w:r>
      <w:r>
        <w:rPr>
          <w:sz w:val="24"/>
          <w:vertAlign w:val="subscript"/>
        </w:rPr>
        <w:t>2</w:t>
      </w:r>
      <w:r>
        <w:rPr>
          <w:sz w:val="24"/>
        </w:rPr>
        <w:t>、TSP、PM</w:t>
      </w:r>
      <w:r>
        <w:rPr>
          <w:sz w:val="24"/>
          <w:vertAlign w:val="subscript"/>
        </w:rPr>
        <w:t>10</w:t>
      </w:r>
      <w:r>
        <w:rPr>
          <w:sz w:val="24"/>
        </w:rPr>
        <w:t>；同时观测风向、风速、气压、气温等常规气象要素。</w:t>
      </w:r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2.监测频次</w:t>
      </w:r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2022年9月，连续7天，</w:t>
      </w:r>
      <w:r>
        <w:rPr>
          <w:sz w:val="24"/>
        </w:rPr>
        <w:t>日平均浓度、小时浓度监测值应符合GB3095对数据有效性的规定。</w:t>
      </w:r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3、监测和分析方法</w:t>
      </w:r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监测及分析方法均按照国家环保局《环境监测技术规范》、《环境监测分析方法》和《环境空气质量标准》</w:t>
      </w:r>
      <w:r>
        <w:rPr>
          <w:sz w:val="24"/>
        </w:rPr>
        <w:t>（GB3095-</w:t>
      </w:r>
      <w:r>
        <w:rPr>
          <w:rFonts w:hint="eastAsia"/>
          <w:sz w:val="24"/>
        </w:rPr>
        <w:t>2012</w:t>
      </w:r>
      <w:r>
        <w:rPr>
          <w:sz w:val="24"/>
        </w:rPr>
        <w:t>）要求</w:t>
      </w:r>
      <w:r>
        <w:rPr>
          <w:rFonts w:hint="eastAsia"/>
          <w:sz w:val="24"/>
        </w:rPr>
        <w:t>的方法进行。</w:t>
      </w:r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4、监测点位</w:t>
      </w:r>
    </w:p>
    <w:p>
      <w:pPr>
        <w:spacing w:line="360" w:lineRule="auto"/>
        <w:ind w:firstLine="482"/>
        <w:rPr>
          <w:rFonts w:hAnsi="宋体"/>
          <w:sz w:val="24"/>
        </w:rPr>
      </w:pPr>
      <w:r>
        <w:rPr>
          <w:rFonts w:hAnsi="宋体"/>
          <w:sz w:val="24"/>
        </w:rPr>
        <w:t>根据环境影响评价技术导则，按照</w:t>
      </w:r>
      <w:r>
        <w:rPr>
          <w:sz w:val="24"/>
        </w:rPr>
        <w:t>环境功能区为主兼顾均布性，监测点监测期间的主导风向确定，</w:t>
      </w:r>
      <w:r>
        <w:rPr>
          <w:rFonts w:hAnsi="宋体"/>
          <w:sz w:val="24"/>
        </w:rPr>
        <w:t>在评价范围内共布设了</w:t>
      </w:r>
      <w:r>
        <w:rPr>
          <w:rFonts w:hint="eastAsia"/>
          <w:sz w:val="24"/>
        </w:rPr>
        <w:t>2</w:t>
      </w:r>
      <w:r>
        <w:rPr>
          <w:rFonts w:hAnsi="宋体"/>
          <w:sz w:val="24"/>
        </w:rPr>
        <w:t>个现状监测点</w:t>
      </w:r>
      <w:r>
        <w:rPr>
          <w:rFonts w:hint="eastAsia" w:hAnsi="宋体"/>
          <w:sz w:val="24"/>
        </w:rPr>
        <w:t>，</w:t>
      </w:r>
      <w:r>
        <w:rPr>
          <w:rFonts w:hAnsi="宋体"/>
          <w:sz w:val="24"/>
        </w:rPr>
        <w:t>详见附图</w:t>
      </w:r>
      <w:r>
        <w:rPr>
          <w:rFonts w:hint="eastAsia" w:hAnsi="宋体"/>
          <w:sz w:val="24"/>
        </w:rPr>
        <w:t>1</w:t>
      </w:r>
      <w:r>
        <w:rPr>
          <w:rFonts w:hAnsi="宋体"/>
          <w:sz w:val="24"/>
        </w:rPr>
        <w:t>。</w:t>
      </w:r>
      <w:r>
        <w:rPr>
          <w:sz w:val="24"/>
        </w:rPr>
        <w:t>各监测点位名称及与拟建项目相对方位、距</w:t>
      </w:r>
      <w:r>
        <w:rPr>
          <w:rFonts w:hAnsi="宋体"/>
          <w:sz w:val="24"/>
        </w:rPr>
        <w:t>离见表</w:t>
      </w:r>
      <w:r>
        <w:rPr>
          <w:rFonts w:hint="eastAsia" w:hAnsi="宋体"/>
          <w:sz w:val="24"/>
        </w:rPr>
        <w:t>1</w:t>
      </w:r>
      <w:r>
        <w:rPr>
          <w:rFonts w:hAnsi="宋体"/>
          <w:sz w:val="24"/>
        </w:rPr>
        <w:t>。</w:t>
      </w:r>
    </w:p>
    <w:p>
      <w:pPr>
        <w:spacing w:line="300" w:lineRule="auto"/>
        <w:ind w:firstLine="1928" w:firstLineChars="800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表1</w:t>
      </w:r>
      <w:r>
        <w:rPr>
          <w:rFonts w:hint="eastAsia" w:ascii="宋体" w:hAnsi="宋体"/>
          <w:b/>
          <w:bCs/>
          <w:sz w:val="24"/>
        </w:rPr>
        <w:t xml:space="preserve">  </w:t>
      </w:r>
      <w:r>
        <w:rPr>
          <w:rFonts w:ascii="宋体" w:hAnsi="宋体"/>
          <w:b/>
          <w:sz w:val="24"/>
        </w:rPr>
        <w:t>大气环境现状监测点布设方案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134"/>
        <w:gridCol w:w="708"/>
        <w:gridCol w:w="1134"/>
        <w:gridCol w:w="44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测点序号</w:t>
            </w:r>
          </w:p>
        </w:tc>
        <w:tc>
          <w:tcPr>
            <w:tcW w:w="665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监测点位</w:t>
            </w: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方位</w:t>
            </w:r>
          </w:p>
        </w:tc>
        <w:tc>
          <w:tcPr>
            <w:tcW w:w="665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环境功能</w:t>
            </w:r>
          </w:p>
        </w:tc>
        <w:tc>
          <w:tcPr>
            <w:tcW w:w="2608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监测因子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G1</w:t>
            </w:r>
          </w:p>
        </w:tc>
        <w:tc>
          <w:tcPr>
            <w:tcW w:w="665" w:type="pct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前洲村</w:t>
            </w:r>
          </w:p>
        </w:tc>
        <w:tc>
          <w:tcPr>
            <w:tcW w:w="415" w:type="pct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NE</w:t>
            </w:r>
          </w:p>
        </w:tc>
        <w:tc>
          <w:tcPr>
            <w:tcW w:w="665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居民点</w:t>
            </w:r>
          </w:p>
        </w:tc>
        <w:tc>
          <w:tcPr>
            <w:tcW w:w="2608" w:type="pct"/>
            <w:vMerge w:val="restar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SO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rFonts w:hAnsi="宋体"/>
                <w:color w:val="000000"/>
                <w:szCs w:val="21"/>
              </w:rPr>
              <w:t>、</w:t>
            </w:r>
            <w:r>
              <w:rPr>
                <w:color w:val="000000"/>
                <w:szCs w:val="21"/>
              </w:rPr>
              <w:t>NO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rFonts w:hint="eastAsia" w:hAnsi="宋体"/>
                <w:color w:val="000000"/>
                <w:szCs w:val="21"/>
              </w:rPr>
              <w:t>监测小时浓度和日均浓度；</w:t>
            </w:r>
            <w:r>
              <w:rPr>
                <w:rFonts w:hint="eastAsia"/>
                <w:color w:val="000000"/>
                <w:szCs w:val="21"/>
              </w:rPr>
              <w:t>PM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2.5</w:t>
            </w:r>
            <w:r>
              <w:rPr>
                <w:rFonts w:hint="eastAsia" w:hAnsi="宋体"/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PM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10</w:t>
            </w:r>
            <w:r>
              <w:rPr>
                <w:rFonts w:hint="eastAsia"/>
                <w:color w:val="000000"/>
                <w:szCs w:val="21"/>
              </w:rPr>
              <w:t>、TSP监测日均浓度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6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</w:t>
            </w: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665" w:type="pct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淮罗村</w:t>
            </w:r>
          </w:p>
        </w:tc>
        <w:tc>
          <w:tcPr>
            <w:tcW w:w="415" w:type="pct"/>
            <w:vAlign w:val="center"/>
          </w:tcPr>
          <w:p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SW</w:t>
            </w:r>
          </w:p>
        </w:tc>
        <w:tc>
          <w:tcPr>
            <w:tcW w:w="665" w:type="pc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居民点</w:t>
            </w:r>
          </w:p>
        </w:tc>
        <w:tc>
          <w:tcPr>
            <w:tcW w:w="2608" w:type="pct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（二）</w:t>
      </w:r>
      <w:r>
        <w:rPr>
          <w:rFonts w:ascii="Times New Roman" w:hAnsi="Times New Roman" w:cs="Times New Roman"/>
          <w:sz w:val="24"/>
          <w:szCs w:val="24"/>
        </w:rPr>
        <w:t>地表水环境质量现状监测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监测因子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>pH、溶解氧、</w:t>
      </w:r>
      <w:r>
        <w:rPr>
          <w:sz w:val="24"/>
        </w:rPr>
        <w:t>高锰酸盐指数、化学需氧量、五日生化需氧量、氨氮、总磷、铜、锌、氟化物（以</w:t>
      </w:r>
      <w:r>
        <w:rPr>
          <w:rFonts w:hint="eastAsia"/>
          <w:sz w:val="24"/>
        </w:rPr>
        <w:t>F-计</w:t>
      </w:r>
      <w:r>
        <w:rPr>
          <w:sz w:val="24"/>
        </w:rPr>
        <w:t>）、硒、砷、汞、镉、铬（六价）、铅、氰化物、挥发酚、石油类、阴离子表面活性剂、硫化物、粪大肠菌群等</w:t>
      </w:r>
      <w:r>
        <w:rPr>
          <w:rFonts w:hint="eastAsia"/>
          <w:sz w:val="24"/>
        </w:rPr>
        <w:t>22</w:t>
      </w:r>
      <w:r>
        <w:rPr>
          <w:sz w:val="24"/>
        </w:rPr>
        <w:t>项</w:t>
      </w:r>
      <w:r>
        <w:rPr>
          <w:rFonts w:hint="eastAsia"/>
          <w:sz w:val="24"/>
        </w:rPr>
        <w:t>，水温、总</w:t>
      </w:r>
      <w:r>
        <w:rPr>
          <w:sz w:val="24"/>
        </w:rPr>
        <w:t>氮不参评。</w:t>
      </w:r>
    </w:p>
    <w:p>
      <w:pPr>
        <w:spacing w:line="360" w:lineRule="auto"/>
        <w:ind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sz w:val="24"/>
        </w:rPr>
        <w:t>监测频次</w:t>
      </w:r>
    </w:p>
    <w:p>
      <w:pPr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sz w:val="24"/>
        </w:rPr>
        <w:t>2022年</w:t>
      </w:r>
      <w:r>
        <w:rPr>
          <w:rFonts w:hint="eastAsia"/>
          <w:sz w:val="24"/>
        </w:rPr>
        <w:t>枯</w:t>
      </w:r>
      <w:r>
        <w:rPr>
          <w:sz w:val="24"/>
        </w:rPr>
        <w:t>（2022.</w:t>
      </w:r>
      <w:r>
        <w:rPr>
          <w:rFonts w:hint="eastAsia"/>
          <w:sz w:val="24"/>
        </w:rPr>
        <w:t>9</w:t>
      </w:r>
      <w:r>
        <w:rPr>
          <w:sz w:val="24"/>
        </w:rPr>
        <w:t>），每次连续3天，每天1次。</w:t>
      </w:r>
    </w:p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</w:t>
      </w:r>
      <w:r>
        <w:rPr>
          <w:sz w:val="24"/>
        </w:rPr>
        <w:t>监测和分析方法：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sz w:val="24"/>
        </w:rPr>
        <w:t>按照环境保护部颁布的水环境监测方法标准和《地表水环境质量标准》（GB 3838-2002）中的相关规定和要求执行。</w:t>
      </w:r>
    </w:p>
    <w:p>
      <w:pPr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.</w:t>
      </w:r>
      <w:r>
        <w:rPr>
          <w:sz w:val="24"/>
        </w:rPr>
        <w:t>监测断面</w:t>
      </w:r>
    </w:p>
    <w:p>
      <w:pPr>
        <w:adjustRightInd w:val="0"/>
        <w:snapToGrid w:val="0"/>
        <w:spacing w:line="360" w:lineRule="auto"/>
        <w:ind w:firstLine="480"/>
        <w:jc w:val="left"/>
        <w:rPr>
          <w:sz w:val="24"/>
        </w:rPr>
      </w:pPr>
      <w:r>
        <w:rPr>
          <w:sz w:val="24"/>
        </w:rPr>
        <w:t>工程地表水环境质量现状监测断面详见表</w:t>
      </w:r>
      <w:r>
        <w:rPr>
          <w:rFonts w:hint="eastAsia"/>
          <w:sz w:val="24"/>
        </w:rPr>
        <w:t>2，位置示意图见附图</w:t>
      </w:r>
      <w:r>
        <w:rPr>
          <w:sz w:val="24"/>
        </w:rPr>
        <w:t>。</w:t>
      </w:r>
    </w:p>
    <w:p>
      <w:pPr>
        <w:adjustRightInd w:val="0"/>
        <w:snapToGrid w:val="0"/>
        <w:spacing w:line="360" w:lineRule="auto"/>
        <w:ind w:firstLine="480"/>
        <w:jc w:val="center"/>
        <w:rPr>
          <w:b/>
          <w:sz w:val="24"/>
        </w:rPr>
      </w:pPr>
      <w:r>
        <w:rPr>
          <w:b/>
          <w:sz w:val="24"/>
        </w:rPr>
        <w:t>表</w:t>
      </w:r>
      <w:r>
        <w:rPr>
          <w:rFonts w:hint="eastAsia"/>
          <w:b/>
          <w:sz w:val="24"/>
        </w:rPr>
        <w:t>2</w:t>
      </w:r>
      <w:r>
        <w:rPr>
          <w:b/>
          <w:sz w:val="24"/>
        </w:rPr>
        <w:t xml:space="preserve">  本工程环评地表水环境质量现状监测断面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2339"/>
        <w:gridCol w:w="4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866" w:type="pct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1372" w:type="pct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水体</w:t>
            </w:r>
          </w:p>
        </w:tc>
        <w:tc>
          <w:tcPr>
            <w:tcW w:w="2762" w:type="pct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监测断面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866" w:type="pct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W1</w:t>
            </w:r>
          </w:p>
        </w:tc>
        <w:tc>
          <w:tcPr>
            <w:tcW w:w="1372" w:type="pct"/>
            <w:vMerge w:val="restart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老淮河</w:t>
            </w:r>
          </w:p>
        </w:tc>
        <w:tc>
          <w:tcPr>
            <w:tcW w:w="2762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临淮岗路桥下游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866" w:type="pct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W2</w:t>
            </w:r>
          </w:p>
        </w:tc>
        <w:tc>
          <w:tcPr>
            <w:tcW w:w="1372" w:type="pct"/>
            <w:vMerge w:val="continue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762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唐垛湖中心沟</w:t>
            </w:r>
            <w:r>
              <w:rPr>
                <w:rFonts w:hint="eastAsia"/>
                <w:szCs w:val="21"/>
              </w:rPr>
              <w:t>上</w:t>
            </w:r>
            <w:r>
              <w:rPr>
                <w:szCs w:val="21"/>
              </w:rPr>
              <w:t>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6" w:type="pct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W3</w:t>
            </w:r>
          </w:p>
        </w:tc>
        <w:tc>
          <w:tcPr>
            <w:tcW w:w="1372" w:type="pct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淮河</w:t>
            </w:r>
          </w:p>
        </w:tc>
        <w:tc>
          <w:tcPr>
            <w:tcW w:w="2762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临淮岗</w:t>
            </w:r>
            <w:r>
              <w:rPr>
                <w:szCs w:val="21"/>
              </w:rPr>
              <w:t>十二孔深孔闸下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6" w:type="pct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W4</w:t>
            </w:r>
          </w:p>
        </w:tc>
        <w:tc>
          <w:tcPr>
            <w:tcW w:w="1372" w:type="pct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762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老淮河汇入口下游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66" w:type="pct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W5</w:t>
            </w:r>
          </w:p>
        </w:tc>
        <w:tc>
          <w:tcPr>
            <w:tcW w:w="1372" w:type="pct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762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管家沟涵下游</w:t>
            </w:r>
          </w:p>
        </w:tc>
      </w:tr>
    </w:tbl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（三）</w:t>
      </w:r>
      <w:r>
        <w:rPr>
          <w:rFonts w:ascii="Times New Roman" w:hAnsi="Times New Roman" w:cs="Times New Roman"/>
          <w:sz w:val="24"/>
          <w:szCs w:val="24"/>
        </w:rPr>
        <w:t>地下水环境质量现状监测</w:t>
      </w:r>
    </w:p>
    <w:p>
      <w:pPr>
        <w:spacing w:line="360" w:lineRule="auto"/>
        <w:ind w:firstLine="480" w:firstLineChars="200"/>
        <w:rPr>
          <w:rFonts w:hint="eastAsia"/>
          <w:kern w:val="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监测项</w:t>
      </w:r>
      <w:r>
        <w:rPr>
          <w:sz w:val="24"/>
        </w:rPr>
        <w:t>目：</w:t>
      </w:r>
      <w:r>
        <w:rPr>
          <w:rFonts w:eastAsia="TimesNewRomanPSMT"/>
          <w:kern w:val="0"/>
          <w:sz w:val="24"/>
        </w:rPr>
        <w:t>K</w:t>
      </w:r>
      <w:r>
        <w:rPr>
          <w:rFonts w:eastAsia="TimesNewRomanPSMT"/>
          <w:kern w:val="0"/>
          <w:sz w:val="24"/>
          <w:vertAlign w:val="superscript"/>
        </w:rPr>
        <w:t>+</w:t>
      </w:r>
      <w:r>
        <w:rPr>
          <w:kern w:val="0"/>
          <w:sz w:val="24"/>
        </w:rPr>
        <w:t>、</w:t>
      </w:r>
      <w:r>
        <w:rPr>
          <w:rFonts w:eastAsia="TimesNewRomanPSMT"/>
          <w:kern w:val="0"/>
          <w:sz w:val="24"/>
        </w:rPr>
        <w:t>Na</w:t>
      </w:r>
      <w:r>
        <w:rPr>
          <w:rFonts w:eastAsia="TimesNewRomanPSMT"/>
          <w:kern w:val="0"/>
          <w:sz w:val="24"/>
          <w:vertAlign w:val="superscript"/>
        </w:rPr>
        <w:t>+</w:t>
      </w:r>
      <w:r>
        <w:rPr>
          <w:kern w:val="0"/>
          <w:sz w:val="24"/>
        </w:rPr>
        <w:t>、</w:t>
      </w:r>
      <w:r>
        <w:rPr>
          <w:rFonts w:eastAsia="TimesNewRomanPSMT"/>
          <w:kern w:val="0"/>
          <w:sz w:val="24"/>
        </w:rPr>
        <w:t>Ca</w:t>
      </w:r>
      <w:r>
        <w:rPr>
          <w:rFonts w:eastAsia="TimesNewRomanPSMT"/>
          <w:kern w:val="0"/>
          <w:sz w:val="24"/>
          <w:vertAlign w:val="superscript"/>
        </w:rPr>
        <w:t>2+</w:t>
      </w:r>
      <w:r>
        <w:rPr>
          <w:kern w:val="0"/>
          <w:sz w:val="24"/>
        </w:rPr>
        <w:t>、</w:t>
      </w:r>
      <w:r>
        <w:rPr>
          <w:rFonts w:eastAsia="TimesNewRomanPSMT"/>
          <w:kern w:val="0"/>
          <w:sz w:val="24"/>
        </w:rPr>
        <w:t>Mg</w:t>
      </w:r>
      <w:r>
        <w:rPr>
          <w:rFonts w:eastAsia="TimesNewRomanPSMT"/>
          <w:kern w:val="0"/>
          <w:sz w:val="24"/>
          <w:vertAlign w:val="superscript"/>
        </w:rPr>
        <w:t>2+</w:t>
      </w:r>
      <w:r>
        <w:rPr>
          <w:kern w:val="0"/>
          <w:sz w:val="24"/>
        </w:rPr>
        <w:t>、</w:t>
      </w:r>
      <w:r>
        <w:rPr>
          <w:rFonts w:eastAsia="TimesNewRomanPSMT"/>
          <w:kern w:val="0"/>
          <w:sz w:val="24"/>
        </w:rPr>
        <w:t>CO</w:t>
      </w:r>
      <w:r>
        <w:rPr>
          <w:rFonts w:eastAsia="TimesNewRomanPSMT"/>
          <w:kern w:val="0"/>
          <w:sz w:val="24"/>
          <w:vertAlign w:val="subscript"/>
        </w:rPr>
        <w:t>3</w:t>
      </w:r>
      <w:r>
        <w:rPr>
          <w:rFonts w:eastAsia="TimesNewRomanPSMT"/>
          <w:kern w:val="0"/>
          <w:sz w:val="24"/>
          <w:vertAlign w:val="superscript"/>
        </w:rPr>
        <w:t>2-</w:t>
      </w:r>
      <w:r>
        <w:rPr>
          <w:kern w:val="0"/>
          <w:sz w:val="24"/>
        </w:rPr>
        <w:t>、</w:t>
      </w:r>
      <w:r>
        <w:rPr>
          <w:rFonts w:eastAsia="TimesNewRomanPSMT"/>
          <w:kern w:val="0"/>
          <w:sz w:val="24"/>
        </w:rPr>
        <w:t>HCO</w:t>
      </w:r>
      <w:r>
        <w:rPr>
          <w:rFonts w:eastAsia="TimesNewRomanPSMT"/>
          <w:kern w:val="0"/>
          <w:sz w:val="24"/>
          <w:vertAlign w:val="subscript"/>
        </w:rPr>
        <w:t>3</w:t>
      </w:r>
      <w:r>
        <w:rPr>
          <w:rFonts w:eastAsia="TimesNewRomanPSMT"/>
          <w:kern w:val="0"/>
          <w:sz w:val="24"/>
          <w:vertAlign w:val="superscript"/>
        </w:rPr>
        <w:t>-</w:t>
      </w:r>
      <w:r>
        <w:rPr>
          <w:kern w:val="0"/>
          <w:sz w:val="24"/>
        </w:rPr>
        <w:t>、</w:t>
      </w:r>
      <w:r>
        <w:rPr>
          <w:rFonts w:eastAsia="TimesNewRomanPSMT"/>
          <w:kern w:val="0"/>
          <w:sz w:val="24"/>
        </w:rPr>
        <w:t>Cl</w:t>
      </w:r>
      <w:r>
        <w:rPr>
          <w:rFonts w:eastAsia="TimesNewRomanPSMT"/>
          <w:kern w:val="0"/>
          <w:sz w:val="24"/>
          <w:vertAlign w:val="superscript"/>
        </w:rPr>
        <w:t>-</w:t>
      </w:r>
      <w:r>
        <w:rPr>
          <w:kern w:val="0"/>
          <w:sz w:val="24"/>
        </w:rPr>
        <w:t>、</w:t>
      </w:r>
      <w:r>
        <w:rPr>
          <w:rFonts w:eastAsia="TimesNewRomanPSMT"/>
          <w:kern w:val="0"/>
          <w:sz w:val="24"/>
        </w:rPr>
        <w:t>SO</w:t>
      </w:r>
      <w:r>
        <w:rPr>
          <w:rFonts w:eastAsia="TimesNewRomanPSMT"/>
          <w:kern w:val="0"/>
          <w:sz w:val="24"/>
          <w:vertAlign w:val="subscript"/>
        </w:rPr>
        <w:t>4</w:t>
      </w:r>
      <w:r>
        <w:rPr>
          <w:rFonts w:eastAsia="TimesNewRomanPSMT"/>
          <w:kern w:val="0"/>
          <w:sz w:val="24"/>
          <w:vertAlign w:val="superscript"/>
        </w:rPr>
        <w:t>2-</w:t>
      </w:r>
      <w:r>
        <w:rPr>
          <w:kern w:val="0"/>
          <w:sz w:val="24"/>
        </w:rPr>
        <w:t>、</w:t>
      </w:r>
      <w:r>
        <w:rPr>
          <w:rFonts w:eastAsia="TimesNewRomanPSMT"/>
          <w:kern w:val="0"/>
          <w:sz w:val="24"/>
        </w:rPr>
        <w:t>pH</w:t>
      </w:r>
      <w:r>
        <w:rPr>
          <w:kern w:val="0"/>
          <w:sz w:val="24"/>
        </w:rPr>
        <w:t>、氨氮（以</w:t>
      </w:r>
      <w:r>
        <w:rPr>
          <w:rFonts w:hint="eastAsia"/>
          <w:kern w:val="0"/>
          <w:sz w:val="24"/>
        </w:rPr>
        <w:t>N计</w:t>
      </w:r>
      <w:r>
        <w:rPr>
          <w:kern w:val="0"/>
          <w:sz w:val="24"/>
        </w:rPr>
        <w:t>）、硝酸盐、亚硝酸盐、挥发性酚类（以苯酚计）、氰化物、砷、汞、铬（六价）、总硬度（以</w:t>
      </w:r>
      <w:r>
        <w:rPr>
          <w:rFonts w:hint="eastAsia"/>
          <w:kern w:val="0"/>
          <w:sz w:val="24"/>
        </w:rPr>
        <w:t>CaCO</w:t>
      </w:r>
      <w:r>
        <w:rPr>
          <w:rFonts w:hint="eastAsia"/>
          <w:kern w:val="0"/>
          <w:sz w:val="24"/>
          <w:vertAlign w:val="superscript"/>
        </w:rPr>
        <w:t>3</w:t>
      </w:r>
      <w:r>
        <w:rPr>
          <w:rFonts w:hint="eastAsia"/>
          <w:kern w:val="0"/>
          <w:sz w:val="24"/>
        </w:rPr>
        <w:t>计</w:t>
      </w:r>
      <w:r>
        <w:rPr>
          <w:kern w:val="0"/>
          <w:sz w:val="24"/>
        </w:rPr>
        <w:t>）、铅、氟化物、镉、铁、锰、溶解性总固体、硫酸盐、氯化物、耗氧量、总大肠菌群、</w:t>
      </w:r>
      <w:r>
        <w:rPr>
          <w:rFonts w:hint="eastAsia"/>
          <w:kern w:val="0"/>
          <w:sz w:val="24"/>
        </w:rPr>
        <w:t>菌落</w:t>
      </w:r>
      <w:r>
        <w:rPr>
          <w:kern w:val="0"/>
          <w:sz w:val="24"/>
        </w:rPr>
        <w:t>总数。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同步调查记录采样监测水井深度、结构和成井历史、功能，地下水埋深和地表高程。</w:t>
      </w:r>
    </w:p>
    <w:p>
      <w:pPr>
        <w:adjustRightInd w:val="0"/>
        <w:snapToGrid w:val="0"/>
        <w:spacing w:line="360" w:lineRule="auto"/>
        <w:ind w:firstLine="482"/>
        <w:jc w:val="left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sz w:val="24"/>
        </w:rPr>
        <w:t>监测频率和时间：监测1天1次。</w:t>
      </w:r>
    </w:p>
    <w:p>
      <w:pPr>
        <w:adjustRightInd w:val="0"/>
        <w:snapToGrid w:val="0"/>
        <w:spacing w:line="360" w:lineRule="auto"/>
        <w:ind w:firstLine="482"/>
        <w:jc w:val="left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</w:t>
      </w:r>
      <w:r>
        <w:rPr>
          <w:sz w:val="24"/>
        </w:rPr>
        <w:t>监测和分析方法</w:t>
      </w:r>
    </w:p>
    <w:p>
      <w:pPr>
        <w:adjustRightInd w:val="0"/>
        <w:snapToGrid w:val="0"/>
        <w:spacing w:line="360" w:lineRule="auto"/>
        <w:ind w:firstLine="482"/>
        <w:jc w:val="left"/>
        <w:rPr>
          <w:sz w:val="24"/>
        </w:rPr>
      </w:pPr>
      <w:r>
        <w:rPr>
          <w:sz w:val="24"/>
        </w:rPr>
        <w:t>监测点位和取样按照《地下水环境监测规范（HJ/T 164-2004）》和《环境影响评价技术导则－地下水环境（HJ 610-2016）》中有关规定和要求执行。</w:t>
      </w:r>
    </w:p>
    <w:p>
      <w:pPr>
        <w:adjustRightInd w:val="0"/>
        <w:snapToGrid w:val="0"/>
        <w:spacing w:line="360" w:lineRule="auto"/>
        <w:ind w:firstLine="482"/>
        <w:jc w:val="left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.</w:t>
      </w:r>
      <w:r>
        <w:rPr>
          <w:sz w:val="24"/>
        </w:rPr>
        <w:t>监测点位：</w:t>
      </w:r>
    </w:p>
    <w:p>
      <w:pPr>
        <w:adjustRightInd w:val="0"/>
        <w:snapToGrid w:val="0"/>
        <w:spacing w:line="360" w:lineRule="auto"/>
        <w:ind w:firstLine="482"/>
        <w:jc w:val="left"/>
        <w:rPr>
          <w:sz w:val="24"/>
        </w:rPr>
      </w:pPr>
      <w:r>
        <w:rPr>
          <w:sz w:val="24"/>
        </w:rPr>
        <w:t>地下水环境质量现状监测点位见表</w:t>
      </w:r>
      <w:r>
        <w:rPr>
          <w:rFonts w:hint="eastAsia"/>
          <w:sz w:val="24"/>
        </w:rPr>
        <w:t>3，位置示意图见附图</w:t>
      </w:r>
      <w:r>
        <w:rPr>
          <w:sz w:val="24"/>
        </w:rPr>
        <w:t>。</w:t>
      </w:r>
    </w:p>
    <w:p>
      <w:pPr>
        <w:adjustRightInd w:val="0"/>
        <w:snapToGrid w:val="0"/>
        <w:spacing w:line="360" w:lineRule="auto"/>
        <w:ind w:firstLine="482"/>
        <w:jc w:val="center"/>
        <w:rPr>
          <w:b/>
          <w:sz w:val="24"/>
        </w:rPr>
      </w:pPr>
      <w:r>
        <w:rPr>
          <w:b/>
          <w:sz w:val="24"/>
        </w:rPr>
        <w:t>表</w:t>
      </w:r>
      <w:r>
        <w:rPr>
          <w:rFonts w:hint="eastAsia"/>
          <w:b/>
          <w:sz w:val="24"/>
        </w:rPr>
        <w:t>3</w:t>
      </w:r>
      <w:r>
        <w:rPr>
          <w:b/>
          <w:sz w:val="24"/>
        </w:rPr>
        <w:t xml:space="preserve">  本工程环评地下水环境质量现状监测点位</w:t>
      </w:r>
    </w:p>
    <w:tbl>
      <w:tblPr>
        <w:tblStyle w:val="8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3943"/>
        <w:gridCol w:w="3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</w:pPr>
            <w:r>
              <w:t>序号</w:t>
            </w:r>
          </w:p>
        </w:tc>
        <w:tc>
          <w:tcPr>
            <w:tcW w:w="2313" w:type="pct"/>
            <w:vAlign w:val="center"/>
          </w:tcPr>
          <w:p>
            <w:pPr>
              <w:jc w:val="center"/>
            </w:pPr>
            <w:r>
              <w:t>监测点位</w:t>
            </w:r>
          </w:p>
        </w:tc>
        <w:tc>
          <w:tcPr>
            <w:tcW w:w="1803" w:type="pct"/>
            <w:vAlign w:val="center"/>
          </w:tcPr>
          <w:p>
            <w:pPr>
              <w:jc w:val="center"/>
            </w:pPr>
            <w: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D</w:t>
            </w:r>
            <w:r>
              <w:t>1</w:t>
            </w:r>
          </w:p>
        </w:tc>
        <w:tc>
          <w:tcPr>
            <w:tcW w:w="2313" w:type="pct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前洲村</w:t>
            </w:r>
          </w:p>
        </w:tc>
        <w:tc>
          <w:tcPr>
            <w:tcW w:w="180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水质、水位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D</w:t>
            </w:r>
            <w:r>
              <w:t>2</w:t>
            </w:r>
          </w:p>
        </w:tc>
        <w:tc>
          <w:tcPr>
            <w:tcW w:w="2313" w:type="pct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2#生活区</w:t>
            </w:r>
          </w:p>
        </w:tc>
        <w:tc>
          <w:tcPr>
            <w:tcW w:w="180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D3</w:t>
            </w:r>
          </w:p>
        </w:tc>
        <w:tc>
          <w:tcPr>
            <w:tcW w:w="2313" w:type="pct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lang w:bidi="ar"/>
              </w:rPr>
              <w:t>赛涧乡黄台村</w:t>
            </w:r>
          </w:p>
        </w:tc>
        <w:tc>
          <w:tcPr>
            <w:tcW w:w="180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水质、水位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D4</w:t>
            </w:r>
          </w:p>
        </w:tc>
        <w:tc>
          <w:tcPr>
            <w:tcW w:w="2313" w:type="pct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临淮岗乡临闸小学</w:t>
            </w:r>
          </w:p>
        </w:tc>
        <w:tc>
          <w:tcPr>
            <w:tcW w:w="180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D5</w:t>
            </w:r>
          </w:p>
        </w:tc>
        <w:tc>
          <w:tcPr>
            <w:tcW w:w="2313" w:type="pct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淮罗村</w:t>
            </w:r>
          </w:p>
        </w:tc>
        <w:tc>
          <w:tcPr>
            <w:tcW w:w="180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水质、水位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D6</w:t>
            </w:r>
          </w:p>
        </w:tc>
        <w:tc>
          <w:tcPr>
            <w:tcW w:w="2313" w:type="pct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管家沟</w:t>
            </w:r>
          </w:p>
        </w:tc>
        <w:tc>
          <w:tcPr>
            <w:tcW w:w="1803" w:type="pc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水位</w:t>
            </w:r>
          </w:p>
        </w:tc>
      </w:tr>
    </w:tbl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四）</w:t>
      </w:r>
      <w:r>
        <w:rPr>
          <w:rFonts w:ascii="Times New Roman" w:hAnsi="Times New Roman" w:cs="Times New Roman"/>
          <w:sz w:val="24"/>
          <w:szCs w:val="24"/>
        </w:rPr>
        <w:t>声环境质量现状监测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监测</w:t>
      </w:r>
      <w:r>
        <w:rPr>
          <w:sz w:val="24"/>
        </w:rPr>
        <w:t>项目：等效连续A声级（dB(A)）。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sz w:val="24"/>
        </w:rPr>
        <w:t>监测时间和频率：连续两天，每天昼夜各一次。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</w:t>
      </w:r>
      <w:r>
        <w:rPr>
          <w:sz w:val="24"/>
        </w:rPr>
        <w:t>监测及分析方法：测量方法按照环境保护部颁布的</w:t>
      </w:r>
      <w:r>
        <w:fldChar w:fldCharType="begin"/>
      </w:r>
      <w:r>
        <w:instrText xml:space="preserve"> HYPERLINK "http://jcs.mep.gov.cn/jcgl/bz/200603/t20060329_75248.htm" \t "_blank" </w:instrText>
      </w:r>
      <w:r>
        <w:fldChar w:fldCharType="separate"/>
      </w:r>
      <w:r>
        <w:rPr>
          <w:sz w:val="24"/>
        </w:rPr>
        <w:t>噪声监测方法标准</w:t>
      </w:r>
      <w:r>
        <w:rPr>
          <w:sz w:val="24"/>
        </w:rPr>
        <w:fldChar w:fldCharType="end"/>
      </w:r>
      <w:r>
        <w:rPr>
          <w:sz w:val="24"/>
        </w:rPr>
        <w:t>和《声环境质量标准》（GB 3096-2008）中有关规定和要求执行。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.</w:t>
      </w:r>
      <w:r>
        <w:rPr>
          <w:sz w:val="24"/>
        </w:rPr>
        <w:t>监测点位：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声环境</w:t>
      </w:r>
      <w:r>
        <w:rPr>
          <w:sz w:val="24"/>
        </w:rPr>
        <w:t>质量监测点位见表</w:t>
      </w:r>
      <w:r>
        <w:rPr>
          <w:rFonts w:hint="eastAsia"/>
          <w:sz w:val="24"/>
        </w:rPr>
        <w:t>4，位置示意图见附图</w:t>
      </w:r>
      <w:r>
        <w:rPr>
          <w:sz w:val="24"/>
        </w:rPr>
        <w:t>。</w:t>
      </w:r>
    </w:p>
    <w:p>
      <w:pPr>
        <w:adjustRightInd w:val="0"/>
        <w:snapToGrid w:val="0"/>
        <w:ind w:firstLine="482"/>
        <w:jc w:val="center"/>
        <w:rPr>
          <w:b/>
          <w:sz w:val="24"/>
        </w:rPr>
      </w:pPr>
      <w:r>
        <w:rPr>
          <w:b/>
          <w:sz w:val="24"/>
        </w:rPr>
        <w:t>表</w:t>
      </w:r>
      <w:r>
        <w:rPr>
          <w:rFonts w:hint="eastAsia"/>
          <w:b/>
          <w:sz w:val="24"/>
        </w:rPr>
        <w:t>4</w:t>
      </w:r>
      <w:r>
        <w:rPr>
          <w:b/>
          <w:sz w:val="24"/>
        </w:rPr>
        <w:t xml:space="preserve">  本工程环评</w:t>
      </w:r>
      <w:r>
        <w:rPr>
          <w:rFonts w:hint="eastAsia"/>
          <w:b/>
          <w:sz w:val="24"/>
        </w:rPr>
        <w:t>声环境</w:t>
      </w:r>
      <w:r>
        <w:rPr>
          <w:b/>
          <w:sz w:val="24"/>
        </w:rPr>
        <w:t>质量现状监测点位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3614"/>
        <w:gridCol w:w="3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序号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监测点位</w:t>
            </w:r>
          </w:p>
        </w:tc>
        <w:tc>
          <w:tcPr>
            <w:tcW w:w="2121" w:type="pct"/>
            <w:vAlign w:val="center"/>
          </w:tcPr>
          <w:p>
            <w:pPr>
              <w:pStyle w:val="15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N1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候郢村</w:t>
            </w:r>
          </w:p>
        </w:tc>
        <w:tc>
          <w:tcPr>
            <w:tcW w:w="2121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N2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庙台村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N3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杨岗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N4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前洲村</w:t>
            </w:r>
          </w:p>
        </w:tc>
        <w:tc>
          <w:tcPr>
            <w:tcW w:w="2121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N5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垂岗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2类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N6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陶咀村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2类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N7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前蔡郢村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2类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N8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金唐村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2类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>
              <w:rPr>
                <w:rFonts w:hint="eastAsia" w:cs="Times New Roman"/>
              </w:rPr>
              <w:t>9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赛涧乡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2类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>
              <w:rPr>
                <w:rFonts w:hint="eastAsia" w:cs="Times New Roman"/>
              </w:rPr>
              <w:t>10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赛涧乡黄台村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2类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>
              <w:rPr>
                <w:rFonts w:hint="eastAsia" w:cs="Times New Roman"/>
              </w:rPr>
              <w:t>11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管家沟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>
              <w:rPr>
                <w:rFonts w:hint="eastAsia" w:cs="Times New Roman"/>
              </w:rPr>
              <w:t>12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淮罗村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>
              <w:rPr>
                <w:rFonts w:hint="eastAsia" w:cs="Times New Roman"/>
              </w:rPr>
              <w:t>13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道郢孜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>
              <w:rPr>
                <w:rFonts w:hint="eastAsia" w:cs="Times New Roman"/>
              </w:rPr>
              <w:t>14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临闸村东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59" w:type="pct"/>
            <w:vAlign w:val="center"/>
          </w:tcPr>
          <w:p>
            <w:pPr>
              <w:pStyle w:val="15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>
              <w:rPr>
                <w:rFonts w:hint="eastAsia" w:cs="Times New Roman"/>
              </w:rPr>
              <w:t>15</w:t>
            </w:r>
          </w:p>
        </w:tc>
        <w:tc>
          <w:tcPr>
            <w:tcW w:w="2120" w:type="pct"/>
            <w:vAlign w:val="center"/>
          </w:tcPr>
          <w:p>
            <w:pPr>
              <w:pStyle w:val="15"/>
              <w:rPr>
                <w:rFonts w:cs="Times New Roman"/>
                <w:lang w:bidi="ar"/>
              </w:rPr>
            </w:pPr>
            <w:r>
              <w:rPr>
                <w:rFonts w:hint="eastAsia" w:cs="Times New Roman"/>
                <w:lang w:bidi="ar"/>
              </w:rPr>
              <w:t>临闸村西</w:t>
            </w:r>
          </w:p>
        </w:tc>
        <w:tc>
          <w:tcPr>
            <w:tcW w:w="2121" w:type="pct"/>
            <w:vAlign w:val="center"/>
          </w:tcPr>
          <w:p>
            <w:pPr>
              <w:jc w:val="center"/>
              <w:rPr>
                <w:lang w:bidi="ar"/>
              </w:rPr>
            </w:pPr>
            <w:r>
              <w:rPr>
                <w:rFonts w:hint="eastAsia"/>
                <w:lang w:bidi="ar"/>
              </w:rPr>
              <w:t>1类</w:t>
            </w:r>
          </w:p>
        </w:tc>
      </w:tr>
    </w:tbl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（五）</w:t>
      </w:r>
      <w:r>
        <w:rPr>
          <w:rFonts w:ascii="Times New Roman" w:hAnsi="Times New Roman" w:cs="Times New Roman"/>
          <w:sz w:val="24"/>
          <w:szCs w:val="24"/>
        </w:rPr>
        <w:t>土壤环境质量现状监测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监</w:t>
      </w:r>
      <w:r>
        <w:rPr>
          <w:sz w:val="24"/>
        </w:rPr>
        <w:t>测项目：pH、铜、镉、汞、砷、铅、铬、锌、镍</w:t>
      </w:r>
      <w:r>
        <w:rPr>
          <w:rFonts w:hint="eastAsia"/>
          <w:sz w:val="24"/>
        </w:rPr>
        <w:t>、</w:t>
      </w:r>
      <w:r>
        <w:rPr>
          <w:sz w:val="24"/>
        </w:rPr>
        <w:t>六六六</w:t>
      </w:r>
      <w:r>
        <w:rPr>
          <w:rFonts w:hint="eastAsia"/>
          <w:sz w:val="24"/>
        </w:rPr>
        <w:t>、</w:t>
      </w:r>
      <w:r>
        <w:rPr>
          <w:sz w:val="24"/>
        </w:rPr>
        <w:t>滴滴涕</w:t>
      </w:r>
      <w:r>
        <w:rPr>
          <w:rFonts w:hint="eastAsia"/>
          <w:sz w:val="24"/>
        </w:rPr>
        <w:t>、</w:t>
      </w:r>
      <w:r>
        <w:rPr>
          <w:sz w:val="24"/>
        </w:rPr>
        <w:t>苯并（a）芘。</w:t>
      </w:r>
    </w:p>
    <w:p>
      <w:pPr>
        <w:adjustRightInd w:val="0"/>
        <w:snapToGrid w:val="0"/>
        <w:spacing w:line="360" w:lineRule="auto"/>
        <w:ind w:firstLine="482"/>
        <w:jc w:val="left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sz w:val="24"/>
        </w:rPr>
        <w:t>监测频率和时间：每点取1次样品取土点。</w:t>
      </w:r>
    </w:p>
    <w:p>
      <w:pPr>
        <w:adjustRightInd w:val="0"/>
        <w:snapToGrid w:val="0"/>
        <w:spacing w:line="360" w:lineRule="auto"/>
        <w:ind w:firstLine="482"/>
        <w:jc w:val="left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.</w:t>
      </w:r>
      <w:r>
        <w:rPr>
          <w:sz w:val="24"/>
        </w:rPr>
        <w:t>监测及分析方法：按照国家环保总局颁布的环境监测分析方法有关规定和《土壤环境质量 农用地土壤污染风险管控标准》）（GB15618-2018）的要求执行。</w:t>
      </w:r>
    </w:p>
    <w:p>
      <w:pPr>
        <w:adjustRightInd w:val="0"/>
        <w:snapToGrid w:val="0"/>
        <w:spacing w:line="360" w:lineRule="auto"/>
        <w:ind w:firstLine="482"/>
        <w:jc w:val="left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.</w:t>
      </w:r>
      <w:r>
        <w:rPr>
          <w:sz w:val="24"/>
        </w:rPr>
        <w:t>监测点位：工程环评土壤环境质量现状监测点位，</w:t>
      </w:r>
      <w:r>
        <w:rPr>
          <w:rFonts w:hint="eastAsia"/>
          <w:sz w:val="24"/>
        </w:rPr>
        <w:t>位置示意图见附图</w:t>
      </w:r>
      <w:r>
        <w:rPr>
          <w:sz w:val="24"/>
        </w:rPr>
        <w:t>。</w:t>
      </w:r>
    </w:p>
    <w:p>
      <w:pPr>
        <w:adjustRightInd w:val="0"/>
        <w:snapToGrid w:val="0"/>
        <w:ind w:firstLine="482"/>
        <w:jc w:val="center"/>
        <w:rPr>
          <w:b/>
          <w:sz w:val="24"/>
        </w:rPr>
      </w:pPr>
      <w:r>
        <w:rPr>
          <w:b/>
          <w:sz w:val="24"/>
        </w:rPr>
        <w:t>表</w:t>
      </w:r>
      <w:r>
        <w:rPr>
          <w:rFonts w:hint="eastAsia"/>
          <w:b/>
          <w:sz w:val="24"/>
        </w:rPr>
        <w:t>5</w:t>
      </w:r>
      <w:r>
        <w:rPr>
          <w:b/>
          <w:sz w:val="24"/>
        </w:rPr>
        <w:t xml:space="preserve">  本工程环评</w:t>
      </w:r>
      <w:r>
        <w:rPr>
          <w:rFonts w:hint="eastAsia"/>
          <w:b/>
          <w:sz w:val="24"/>
        </w:rPr>
        <w:t>土壤</w:t>
      </w:r>
      <w:r>
        <w:rPr>
          <w:b/>
          <w:sz w:val="24"/>
        </w:rPr>
        <w:t>环境质量现状监测点位</w:t>
      </w:r>
    </w:p>
    <w:tbl>
      <w:tblPr>
        <w:tblStyle w:val="8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5267"/>
        <w:gridCol w:w="17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</w:pPr>
            <w:r>
              <w:t>序号</w:t>
            </w:r>
          </w:p>
        </w:tc>
        <w:tc>
          <w:tcPr>
            <w:tcW w:w="3090" w:type="pct"/>
            <w:vAlign w:val="center"/>
          </w:tcPr>
          <w:p>
            <w:pPr>
              <w:jc w:val="center"/>
            </w:pPr>
            <w:r>
              <w:t>监测点位</w:t>
            </w:r>
          </w:p>
        </w:tc>
        <w:tc>
          <w:tcPr>
            <w:tcW w:w="1026" w:type="pct"/>
          </w:tcPr>
          <w:p>
            <w:pPr>
              <w:jc w:val="center"/>
            </w:pPr>
            <w:r>
              <w:t>方位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T</w:t>
            </w:r>
            <w:r>
              <w:t>1</w:t>
            </w:r>
          </w:p>
        </w:tc>
        <w:tc>
          <w:tcPr>
            <w:tcW w:w="3090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西柳沟</w:t>
            </w:r>
            <w:r>
              <w:t>土料暂存场</w:t>
            </w:r>
          </w:p>
        </w:tc>
        <w:tc>
          <w:tcPr>
            <w:tcW w:w="1026" w:type="pct"/>
          </w:tcPr>
          <w:p>
            <w:pPr>
              <w:jc w:val="center"/>
            </w:pPr>
            <w:r>
              <w:rPr>
                <w:rFonts w:hint="eastAsia"/>
              </w:rPr>
              <w:t>左岸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T2</w:t>
            </w:r>
          </w:p>
        </w:tc>
        <w:tc>
          <w:tcPr>
            <w:tcW w:w="3090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3#生产生活区</w:t>
            </w:r>
          </w:p>
        </w:tc>
        <w:tc>
          <w:tcPr>
            <w:tcW w:w="1026" w:type="pct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左岸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T3</w:t>
            </w:r>
          </w:p>
        </w:tc>
        <w:tc>
          <w:tcPr>
            <w:tcW w:w="3090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1#料场</w:t>
            </w:r>
          </w:p>
        </w:tc>
        <w:tc>
          <w:tcPr>
            <w:tcW w:w="1026" w:type="pct"/>
          </w:tcPr>
          <w:p>
            <w:pPr>
              <w:jc w:val="center"/>
            </w:pPr>
            <w:r>
              <w:t>左岸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84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T4</w:t>
            </w:r>
          </w:p>
        </w:tc>
        <w:tc>
          <w:tcPr>
            <w:tcW w:w="3090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姜家湖排涝涵生产区</w:t>
            </w:r>
          </w:p>
        </w:tc>
        <w:tc>
          <w:tcPr>
            <w:tcW w:w="1026" w:type="pct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左岸</w:t>
            </w:r>
          </w:p>
        </w:tc>
      </w:tr>
    </w:tbl>
    <w:p>
      <w:pPr>
        <w:spacing w:line="360" w:lineRule="auto"/>
        <w:ind w:firstLine="420" w:firstLineChars="175"/>
        <w:rPr>
          <w:sz w:val="24"/>
        </w:rPr>
        <w:sectPr>
          <w:footerReference r:id="rId3" w:type="default"/>
          <w:pgSz w:w="11907" w:h="16839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sz w:val="24"/>
        </w:rPr>
        <w:t>监测单位提供各指标监测所采用的分析方法、分析时间和方法检出限值以及每个监测点位（断面）的经纬度（或者地理坐标）。</w:t>
      </w:r>
    </w:p>
    <w:p>
      <w:pPr>
        <w:spacing w:line="360" w:lineRule="auto"/>
        <w:rPr>
          <w:sz w:val="24"/>
        </w:rPr>
      </w:pPr>
      <w:r>
        <w:rPr>
          <w:sz w:val="24"/>
        </w:rPr>
        <w:drawing>
          <wp:inline distT="0" distB="0" distL="0" distR="0">
            <wp:extent cx="8867775" cy="4829175"/>
            <wp:effectExtent l="0" t="0" r="9525" b="9525"/>
            <wp:docPr id="2" name="图片 2" descr="姜塘湖监测布点图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姜塘湖监测布点图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4575" cy="482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b/>
          <w:sz w:val="28"/>
          <w:szCs w:val="28"/>
        </w:rPr>
      </w:pPr>
      <w:r>
        <w:rPr>
          <w:rFonts w:hint="eastAsia"/>
          <w:b/>
        </w:rPr>
        <w:t>附图  姜唐湖行洪区堤防加固工程环境质量现状监测布点图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6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9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00360082"/>
    <w:rsid w:val="00096487"/>
    <w:rsid w:val="000A6913"/>
    <w:rsid w:val="00360082"/>
    <w:rsid w:val="00377827"/>
    <w:rsid w:val="003B2DE8"/>
    <w:rsid w:val="003C5F5E"/>
    <w:rsid w:val="0045335B"/>
    <w:rsid w:val="005601AB"/>
    <w:rsid w:val="005C20C8"/>
    <w:rsid w:val="00614768"/>
    <w:rsid w:val="0065017E"/>
    <w:rsid w:val="006601CD"/>
    <w:rsid w:val="00677AF2"/>
    <w:rsid w:val="0069660E"/>
    <w:rsid w:val="007805F2"/>
    <w:rsid w:val="00A77668"/>
    <w:rsid w:val="00A95B20"/>
    <w:rsid w:val="00B81846"/>
    <w:rsid w:val="00F13E73"/>
    <w:rsid w:val="00F91A62"/>
    <w:rsid w:val="00FE4587"/>
    <w:rsid w:val="31E22A36"/>
    <w:rsid w:val="4CC3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tabs>
        <w:tab w:val="left" w:pos="0"/>
      </w:tabs>
      <w:adjustRightInd w:val="0"/>
      <w:snapToGrid w:val="0"/>
      <w:spacing w:before="240" w:after="240" w:line="360" w:lineRule="auto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link w:val="13"/>
    <w:unhideWhenUsed/>
    <w:qFormat/>
    <w:uiPriority w:val="1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Plain Text"/>
    <w:basedOn w:val="1"/>
    <w:link w:val="14"/>
    <w:qFormat/>
    <w:uiPriority w:val="0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2 Char"/>
    <w:basedOn w:val="9"/>
    <w:link w:val="2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正文文本 Char"/>
    <w:basedOn w:val="9"/>
    <w:link w:val="3"/>
    <w:qFormat/>
    <w:uiPriority w:val="1"/>
    <w:rPr>
      <w:rFonts w:ascii="Times New Roman" w:hAnsi="Times New Roman" w:eastAsia="宋体" w:cs="Times New Roman"/>
      <w:szCs w:val="24"/>
    </w:rPr>
  </w:style>
  <w:style w:type="character" w:customStyle="1" w:styleId="14">
    <w:name w:val="纯文本 Char"/>
    <w:basedOn w:val="9"/>
    <w:link w:val="4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customStyle="1" w:styleId="15">
    <w:name w:val="表格文字"/>
    <w:basedOn w:val="1"/>
    <w:qFormat/>
    <w:uiPriority w:val="0"/>
    <w:pPr>
      <w:widowControl/>
      <w:jc w:val="center"/>
    </w:pPr>
    <w:rPr>
      <w:rFonts w:ascii="Times New Roman" w:hAnsi="Times New Roman" w:eastAsia="宋体" w:cs="宋体"/>
      <w:color w:val="000000"/>
      <w:kern w:val="0"/>
      <w:szCs w:val="20"/>
    </w:rPr>
  </w:style>
  <w:style w:type="character" w:customStyle="1" w:styleId="16">
    <w:name w:val="批注框文本 Char"/>
    <w:basedOn w:val="9"/>
    <w:link w:val="5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1700</Words>
  <Characters>1892</Characters>
  <Lines>43</Lines>
  <Paragraphs>12</Paragraphs>
  <TotalTime>358</TotalTime>
  <ScaleCrop>false</ScaleCrop>
  <LinksUpToDate>false</LinksUpToDate>
  <CharactersWithSpaces>1910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2022-08-29T02:26:00Z</dcterms:created>
  <dc:creator>user</dc:creator>
  <cp:lastModifiedBy>席翔</cp:lastModifiedBy>
  <dcterms:modified xsi:type="dcterms:W3CDTF">2023-01-29T08:46:41Z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EA772165A3DE4B7AB3962F5C346196C8</vt:lpwstr>
  </property>
</Properties>
</file>